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tribunal-judicial-de-lisboa"/>
    <w:p>
      <w:pPr>
        <w:pStyle w:val="Heading2"/>
      </w:pPr>
      <w:r>
        <w:t xml:space="preserve">Tribunal Judicial de Lisboa</w:t>
      </w:r>
    </w:p>
    <w:p>
      <w:pPr>
        <w:pStyle w:val="FirstParagraph"/>
      </w:pPr>
      <w:r>
        <w:rPr>
          <w:b/>
          <w:bCs/>
        </w:rPr>
        <w:t xml:space="preserve">Juízo de Instrução Criminal n.º 4</w:t>
      </w:r>
    </w:p>
    <w:p>
      <w:pPr>
        <w:pStyle w:val="BodyText"/>
      </w:pPr>
      <w:r>
        <w:rPr>
          <w:b/>
          <w:bCs/>
        </w:rPr>
        <w:t xml:space="preserve">Processo Penal n.º 2023/0456</w:t>
      </w:r>
      <w:r>
        <w:t xml:space="preserve"> </w:t>
      </w:r>
      <w:r>
        <w:t xml:space="preserve">– Burla Informática por Phishing</w:t>
      </w:r>
    </w:p>
    <w:p>
      <w:pPr>
        <w:pStyle w:val="BodyText"/>
      </w:pPr>
      <w:r>
        <w:rPr>
          <w:b/>
          <w:bCs/>
        </w:rPr>
        <w:t xml:space="preserve">Requerimento de Diligência</w:t>
      </w:r>
    </w:p>
    <w:bookmarkStart w:id="9" w:name="i.-identificação-das-partes"/>
    <w:p>
      <w:pPr>
        <w:pStyle w:val="Heading3"/>
      </w:pPr>
      <w:r>
        <w:t xml:space="preserve">I. 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501"/>
        <w:gridCol w:w="5418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Ministério Público – Secção de Instrução Criminal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João da Silva, residente em Rua da Prata, 45, 1.º Dto., 1150‑262 Lisboa, NIF 123 456 789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Procuradora</w:t>
            </w:r>
          </w:p>
        </w:tc>
        <w:tc>
          <w:tcPr/>
          <w:p>
            <w:pPr>
              <w:pStyle w:val="Compact"/>
            </w:pPr>
            <w:r>
              <w:t xml:space="preserve">Dr.ª</w:t>
            </w:r>
            <w:r>
              <w:t xml:space="preserve"> </w:t>
            </w:r>
            <w:r>
              <w:rPr>
                <w:b/>
                <w:bCs/>
              </w:rPr>
              <w:t xml:space="preserve">Marta Santos</w:t>
            </w:r>
            <w:r>
              <w:t xml:space="preserve">, O.A. 54321, Procuradora da República</w:t>
            </w:r>
          </w:p>
        </w:tc>
      </w:tr>
    </w:tbl>
    <w:bookmarkEnd w:id="9"/>
    <w:bookmarkStart w:id="10" w:name="ii.-exposição-dos-factos"/>
    <w:p>
      <w:pPr>
        <w:pStyle w:val="Heading3"/>
      </w:pPr>
      <w:r>
        <w:t xml:space="preserve">II. Exposição dos factos</w:t>
      </w:r>
    </w:p>
    <w:p>
      <w:pPr>
        <w:numPr>
          <w:ilvl w:val="0"/>
          <w:numId w:val="1001"/>
        </w:numPr>
      </w:pPr>
      <w:r>
        <w:t xml:space="preserve">Nos dias</w:t>
      </w:r>
      <w:r>
        <w:t xml:space="preserve"> </w:t>
      </w:r>
      <w:r>
        <w:rPr>
          <w:b/>
          <w:bCs/>
        </w:rPr>
        <w:t xml:space="preserve">10, 15, 18, 22 e 25 de março de 2023</w:t>
      </w:r>
      <w:r>
        <w:t xml:space="preserve">, o réu João da Silva utilizou, mediante técnicas de</w:t>
      </w:r>
      <w:r>
        <w:t xml:space="preserve"> </w:t>
      </w:r>
      <w:r>
        <w:rPr>
          <w:i/>
          <w:iCs/>
        </w:rPr>
        <w:t xml:space="preserve">phishing</w:t>
      </w:r>
      <w:r>
        <w:t xml:space="preserve">, correio eletrónico fraudulento que induziu as vítimas a efetuar transferências bancárias para contas por ele controladas.</w:t>
      </w:r>
    </w:p>
    <w:p>
      <w:pPr>
        <w:numPr>
          <w:ilvl w:val="0"/>
          <w:numId w:val="1001"/>
        </w:numPr>
      </w:pPr>
      <w:r>
        <w:t xml:space="preserve">As transferências resultaram, no total, num montante de</w:t>
      </w:r>
      <w:r>
        <w:t xml:space="preserve"> </w:t>
      </w:r>
      <w:r>
        <w:rPr>
          <w:b/>
          <w:bCs/>
        </w:rPr>
        <w:t xml:space="preserve">€ 32 000,00 (trinta e dois mil euros)</w:t>
      </w:r>
      <w:r>
        <w:t xml:space="preserve">, valores que foram depositados em contas correntes abertas no</w:t>
      </w:r>
      <w:r>
        <w:t xml:space="preserve"> </w:t>
      </w:r>
      <w:r>
        <w:rPr>
          <w:b/>
          <w:bCs/>
        </w:rPr>
        <w:t xml:space="preserve">Banco Caixa Geral</w:t>
      </w:r>
      <w:r>
        <w:t xml:space="preserve">, sucursal de Lisboa, com os seguintes números IBAN:</w:t>
      </w:r>
    </w:p>
    <w:p>
      <w:pPr>
        <w:pStyle w:val="Compact"/>
        <w:numPr>
          <w:ilvl w:val="1"/>
          <w:numId w:val="1002"/>
        </w:numPr>
      </w:pPr>
      <w:r>
        <w:t xml:space="preserve">PT50 0035 0000 0000 0000 1234 567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PT50 0035 0000 0000 0000 9876 543</w:t>
      </w:r>
    </w:p>
    <w:p>
      <w:pPr>
        <w:numPr>
          <w:ilvl w:val="0"/>
          <w:numId w:val="1001"/>
        </w:numPr>
      </w:pPr>
      <w:r>
        <w:t xml:space="preserve">A prática descrita encontra‑se tipificada no artigo</w:t>
      </w:r>
      <w:r>
        <w:t xml:space="preserve"> </w:t>
      </w:r>
      <w:r>
        <w:rPr>
          <w:b/>
          <w:bCs/>
        </w:rPr>
        <w:t xml:space="preserve">217.º</w:t>
      </w:r>
      <w:r>
        <w:t xml:space="preserve"> </w:t>
      </w:r>
      <w:r>
        <w:t xml:space="preserve">do Código Penal (burla informática).</w:t>
      </w:r>
    </w:p>
    <w:p>
      <w:pPr>
        <w:numPr>
          <w:ilvl w:val="0"/>
          <w:numId w:val="1001"/>
        </w:numPr>
      </w:pPr>
      <w:r>
        <w:t xml:space="preserve">Para a correta instrução do presente processo, e tendo em vista a necessidade de comprovar a origem, o percurso e a autoria das transferências, se faz imprescindível a obtenção dos seguintes elementos bancários:</w:t>
      </w:r>
    </w:p>
    <w:p>
      <w:pPr>
        <w:pStyle w:val="Compact"/>
        <w:numPr>
          <w:ilvl w:val="1"/>
          <w:numId w:val="1003"/>
        </w:numPr>
      </w:pPr>
      <w:r>
        <w:t xml:space="preserve">Extratos de conta, completos, referentes ao período de</w:t>
      </w:r>
      <w:r>
        <w:t xml:space="preserve"> </w:t>
      </w:r>
      <w:r>
        <w:rPr>
          <w:b/>
          <w:bCs/>
        </w:rPr>
        <w:t xml:space="preserve">01 de março a 31 de março de 2023</w:t>
      </w:r>
      <w:r>
        <w:t xml:space="preserve">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Comprovativos de todas as transferências efetuadas no montante total de € 32 000,00, incluindo data, hora, valor, IBAN de origem e de destino, e descrição da operação;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Registo de endereços IP associados a cada operação de transferência, bem como a hora de autenticação no canal de internet banking;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Eventuais comunicações eletrónicas (e‑mails, mensagens de texto) enviadas pelo cliente ao banco no âmbito das referidas operações;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Identificação dos responsáveis internos (operadores, gestores de conta) que processaram as transferências.</w:t>
      </w:r>
    </w:p>
    <w:bookmarkEnd w:id="10"/>
    <w:bookmarkStart w:id="11" w:name="iii.-fundamentação-jurídica"/>
    <w:p>
      <w:pPr>
        <w:pStyle w:val="Heading3"/>
      </w:pPr>
      <w:r>
        <w:t xml:space="preserve">III. Fundamentação jurídica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Artigo 21.º, n.º 2, do Código de Processo Civil (CPC)</w:t>
      </w:r>
      <w:r>
        <w:t xml:space="preserve"> </w:t>
      </w:r>
      <w:r>
        <w:t xml:space="preserve">– O juiz pode determinar, a requerimento das partes ou de ofício, a prática de diligências necessárias à descoberta da verdade.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Artigo 22.º, n.º 1, do CPC</w:t>
      </w:r>
      <w:r>
        <w:t xml:space="preserve"> </w:t>
      </w:r>
      <w:r>
        <w:t xml:space="preserve">– A prática de atos de instrução, incluindo a requisição de documentos a terceiros, deve ser feita mediante requerimento fundamentado, indicando a utilidade probatória dos mesmos.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Artigo 217.º, n.º 1, alínea b) do Código Penal</w:t>
      </w:r>
      <w:r>
        <w:t xml:space="preserve"> </w:t>
      </w:r>
      <w:r>
        <w:t xml:space="preserve">– Define a burla informática como a obtenção de vantagem ilícita mediante a utilização de meios informáticos, sendo imprescindível a prova da existência de transferências bancárias fraudulentas.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Decreto‑Lei n.º 93/2019, de 4 de setembro</w:t>
      </w:r>
      <w:r>
        <w:t xml:space="preserve">, que regula o acesso a dados bancários por autoridades judiciais, estabelece que o banco deve colaborar com a justiça, fornecendo os documentos solicitados, desde que devidamente requisitados e motivados.</w:t>
      </w:r>
    </w:p>
    <w:p>
      <w:pPr>
        <w:pStyle w:val="FirstParagraph"/>
      </w:pPr>
      <w:r>
        <w:t xml:space="preserve">Em consequência, o requerimento ora formulado encontra plena base legal nas normas acima citadas, sendo indispensável para a demonstração da materialidade e autoria da infração penal.</w:t>
      </w:r>
    </w:p>
    <w:bookmarkEnd w:id="11"/>
    <w:bookmarkStart w:id="12" w:name="iv.-pedido"/>
    <w:p>
      <w:pPr>
        <w:pStyle w:val="Heading3"/>
      </w:pPr>
      <w:r>
        <w:t xml:space="preserve">IV. Pedido</w:t>
      </w:r>
    </w:p>
    <w:p>
      <w:pPr>
        <w:pStyle w:val="FirstParagraph"/>
      </w:pPr>
      <w:r>
        <w:t xml:space="preserve">Nos termos do exposto, requer‑se a V. Exa. que, nos termos do artigo 21.º e 22.º do CPC,</w:t>
      </w:r>
      <w:r>
        <w:t xml:space="preserve"> </w:t>
      </w:r>
      <w:r>
        <w:rPr>
          <w:b/>
          <w:bCs/>
        </w:rPr>
        <w:t xml:space="preserve">determinar ao Banco Caixa Geral, S.A., sucursal de Lisboa, a prática da diligência abaixo especificada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50"/>
        <w:gridCol w:w="2475"/>
        <w:gridCol w:w="379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Item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Período / Alcance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Extratos de conta completos</w:t>
            </w:r>
          </w:p>
        </w:tc>
        <w:tc>
          <w:tcPr/>
          <w:p>
            <w:pPr>
              <w:pStyle w:val="Compact"/>
            </w:pPr>
            <w:r>
              <w:t xml:space="preserve">01/03/2023 a 31/03/2023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Comprovativos de todas as transferências de € 32 000,00</w:t>
            </w:r>
          </w:p>
        </w:tc>
        <w:tc>
          <w:tcPr/>
          <w:p>
            <w:pPr>
              <w:pStyle w:val="Compact"/>
            </w:pPr>
            <w:r>
              <w:t xml:space="preserve">10/03/2023 a 25/03/2023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Registo de endereços IP associados a cada transferência</w:t>
            </w:r>
          </w:p>
        </w:tc>
        <w:tc>
          <w:tcPr/>
          <w:p>
            <w:pPr>
              <w:pStyle w:val="Compact"/>
            </w:pPr>
            <w:r>
              <w:t xml:space="preserve">10/03/2023 a 25/03/2023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Cópias de comunicações eletrónicas enviadas ao banco</w:t>
            </w:r>
          </w:p>
        </w:tc>
        <w:tc>
          <w:tcPr/>
          <w:p>
            <w:pPr>
              <w:pStyle w:val="Compact"/>
            </w:pPr>
            <w:r>
              <w:t xml:space="preserve">01/03/2023 a 31/03/2023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Identificação dos operadores internos que processaram as transferências</w:t>
            </w:r>
          </w:p>
        </w:tc>
        <w:tc>
          <w:tcPr/>
          <w:p>
            <w:pPr>
              <w:pStyle w:val="Compact"/>
            </w:pPr>
            <w:r>
              <w:t xml:space="preserve">10/03/2023 a 25/03/2023</w:t>
            </w:r>
          </w:p>
        </w:tc>
      </w:tr>
    </w:tbl>
    <w:p>
      <w:pPr>
        <w:pStyle w:val="BodyText"/>
      </w:pPr>
      <w:r>
        <w:t xml:space="preserve">Requer‑se, ainda, que a entrega dos documentos seja efetuada</w:t>
      </w:r>
      <w:r>
        <w:t xml:space="preserve"> </w:t>
      </w:r>
      <w:r>
        <w:rPr>
          <w:b/>
          <w:bCs/>
        </w:rPr>
        <w:t xml:space="preserve">no prazo máximo de 15 (quinze) dias úteis</w:t>
      </w:r>
      <w:r>
        <w:t xml:space="preserve">, a contar da notificação deste requerimento, em formato eletrónico (PDF) para o endereço de correio eletrónico institucional da Secção de Instrução Criminal:</w:t>
      </w:r>
      <w:r>
        <w:t xml:space="preserve"> </w:t>
      </w:r>
      <w:r>
        <w:rPr>
          <w:b/>
          <w:bCs/>
        </w:rPr>
        <w:t xml:space="preserve">instrução.criminal@mp.pt</w:t>
      </w:r>
      <w:r>
        <w:t xml:space="preserve">, bem como em cópia física, devidamente selada, a ser remetida para a seguinte morada:</w:t>
      </w:r>
    </w:p>
    <w:p>
      <w:pPr>
        <w:pStyle w:val="BlockText"/>
      </w:pPr>
      <w:r>
        <w:rPr>
          <w:b/>
          <w:bCs/>
        </w:rPr>
        <w:t xml:space="preserve">Secção de Instrução Criminal</w:t>
      </w:r>
      <w:r>
        <w:br/>
      </w:r>
      <w:r>
        <w:t xml:space="preserve">Tribunal Judicial de Lisboa</w:t>
      </w:r>
      <w:r>
        <w:br/>
      </w:r>
      <w:r>
        <w:t xml:space="preserve">Rua da Prata, 12 – 2.º andar</w:t>
      </w:r>
      <w:r>
        <w:br/>
      </w:r>
      <w:r>
        <w:t xml:space="preserve">1150‑259 Lisboa</w:t>
      </w:r>
    </w:p>
    <w:bookmarkEnd w:id="12"/>
    <w:bookmarkStart w:id="13" w:name="v.-conclusão"/>
    <w:p>
      <w:pPr>
        <w:pStyle w:val="Heading3"/>
      </w:pPr>
      <w:r>
        <w:t xml:space="preserve">V. Conclusão</w:t>
      </w:r>
    </w:p>
    <w:p>
      <w:pPr>
        <w:pStyle w:val="FirstParagraph"/>
      </w:pPr>
      <w:r>
        <w:t xml:space="preserve">A prática da diligência solicitada reveste‑se de carácter imprescindível para a completa instrução do processo penal n.º 2023/0456, permitindo ao Ministério Público comprovar, de forma inequívoca, a materialidade e a autoria da burla informática atribuída ao réu João da Silva.</w:t>
      </w:r>
    </w:p>
    <w:p>
      <w:pPr>
        <w:pStyle w:val="BodyText"/>
      </w:pPr>
      <w:r>
        <w:t xml:space="preserve">Pelo exposto,</w:t>
      </w:r>
      <w:r>
        <w:t xml:space="preserve"> </w:t>
      </w:r>
      <w:r>
        <w:rPr>
          <w:b/>
          <w:bCs/>
        </w:rPr>
        <w:t xml:space="preserve">solicita‑se a V. Exa. o deferimento do presente requerimento</w:t>
      </w:r>
      <w:r>
        <w:t xml:space="preserve"> </w:t>
      </w:r>
      <w:r>
        <w:t xml:space="preserve">e a consequente ordem de cumprimento ao Banco Caixa Geral, nos termos acima especificados.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Dr.ª Marta Santos</w:t>
      </w:r>
      <w:r>
        <w:br/>
      </w:r>
      <w:r>
        <w:t xml:space="preserve">Procuradora da República – O.A. 54321</w:t>
      </w:r>
    </w:p>
    <w:p>
      <w:pPr>
        <w:pStyle w:val="BodyText"/>
      </w:pPr>
      <w:r>
        <w:rPr>
          <w:b/>
          <w:bCs/>
        </w:rPr>
        <w:t xml:space="preserve">Juiz de Instrução Criminal n.º 4</w:t>
      </w:r>
      <w:r>
        <w:br/>
      </w:r>
      <w:r>
        <w:t xml:space="preserve">Tribunal Judicial de Lisboa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Cópia para:</w:t>
      </w:r>
    </w:p>
    <w:p>
      <w:pPr>
        <w:pStyle w:val="Compact"/>
        <w:numPr>
          <w:ilvl w:val="0"/>
          <w:numId w:val="1005"/>
        </w:numPr>
      </w:pPr>
      <w:r>
        <w:t xml:space="preserve">Ministério Público – Secção de Instrução Criminal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Advogados de defesa (Dr.ª Ana Pereira – O.A. 12345; Dr. Luís Carvalho – O.A. 67890)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Nota: O presente requerimento será acompanhado de cópia da citação do processo e da decisão de instrução que autoriza a prática da diligência.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